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pacing w:before="0" w:after="0"/>
        <w:jc w:val="center"/>
        <w:rPr>
          <w:rStyle w:val="Strong"/>
        </w:rPr>
      </w:pPr>
      <w:r>
        <w:rPr>
          <w:rStyle w:val="Strong"/>
          <w:rtl w:val="0"/>
          <w:lang w:val="ru-RU"/>
        </w:rPr>
        <w:t>Международная научно</w:t>
      </w:r>
      <w:r>
        <w:rPr>
          <w:rStyle w:val="Strong"/>
          <w:rtl w:val="0"/>
          <w:lang w:val="ru-RU"/>
        </w:rPr>
        <w:t>-</w:t>
      </w:r>
      <w:r>
        <w:rPr>
          <w:rStyle w:val="Strong"/>
          <w:rtl w:val="0"/>
          <w:lang w:val="ru-RU"/>
        </w:rPr>
        <w:t>практическая конференция</w:t>
      </w:r>
    </w:p>
    <w:p>
      <w:pPr>
        <w:pStyle w:val="Normal (Web)"/>
        <w:spacing w:before="0" w:after="0"/>
        <w:jc w:val="center"/>
        <w:rPr>
          <w:color w:val="000000"/>
          <w:u w:color="000000"/>
          <w:shd w:val="clear" w:color="auto" w:fill="ffffff"/>
        </w:rPr>
      </w:pPr>
      <w:r>
        <w:rPr>
          <w:rStyle w:val="Strong"/>
          <w:rtl w:val="0"/>
          <w:lang w:val="ru-RU"/>
        </w:rPr>
        <w:t>«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Современные методические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творческие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>социальные проекты в художественном образовании»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Body Text"/>
        <w:spacing w:after="0"/>
        <w:jc w:val="center"/>
        <w:rPr>
          <w:b w:val="1"/>
          <w:bCs w:val="1"/>
          <w:sz w:val="24"/>
          <w:szCs w:val="24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Крым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 xml:space="preserve">1 - 10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мая </w:t>
      </w:r>
      <w:r>
        <w:rPr>
          <w:b w:val="1"/>
          <w:bCs w:val="1"/>
          <w:sz w:val="24"/>
          <w:szCs w:val="24"/>
          <w:rtl w:val="0"/>
          <w:lang w:val="ru-RU"/>
        </w:rPr>
        <w:t>201</w:t>
      </w:r>
      <w:r>
        <w:rPr>
          <w:b w:val="1"/>
          <w:bCs w:val="1"/>
          <w:sz w:val="24"/>
          <w:szCs w:val="24"/>
          <w:rtl w:val="0"/>
          <w:lang w:val="ru-RU"/>
        </w:rPr>
        <w:t>9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г</w:t>
      </w:r>
      <w:r>
        <w:rPr>
          <w:b w:val="1"/>
          <w:bCs w:val="1"/>
          <w:sz w:val="24"/>
          <w:szCs w:val="24"/>
          <w:rtl w:val="0"/>
          <w:lang w:val="ru-RU"/>
        </w:rPr>
        <w:t>.)</w:t>
      </w:r>
    </w:p>
    <w:p>
      <w:pPr>
        <w:pStyle w:val="Body Text"/>
        <w:spacing w:after="0"/>
        <w:rPr>
          <w:b w:val="1"/>
          <w:bCs w:val="1"/>
          <w:color w:val="000000"/>
          <w:sz w:val="24"/>
          <w:szCs w:val="24"/>
          <w:u w:color="000000"/>
          <w:lang w:val="ru-RU"/>
        </w:rPr>
      </w:pPr>
    </w:p>
    <w:p>
      <w:pPr>
        <w:pStyle w:val="Body Text"/>
        <w:numPr>
          <w:ilvl w:val="0"/>
          <w:numId w:val="2"/>
        </w:numPr>
        <w:bidi w:val="0"/>
        <w:spacing w:after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Цели и задачи конференции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List Paragraph"/>
        <w:widowControl w:val="0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 xml:space="preserve">Целью Конференции является постановка и обсуждение основных проблем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ru-RU"/>
        </w:rPr>
        <w:t xml:space="preserve">и приоритетных направлений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художественного образования в контексте изменений образовательной системы и социально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культурных трансформаций современного общества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Задачи Конференции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обсуждение актуальных вопросов и проблем художественного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поиски новых путей их решения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ыявление и распространение передового творческого методического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управленческого опыта в художественном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межрегиональной и международной образовательной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создание единой коммуникационной площадки для обсуждения и решения актуальных проблем и обмена опытом специалистов разных регионов России и зарубежных стран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сбор и анализ научно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практической информации по актуальным проблемам художественного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подготовка резолютивных и аналитических материалов по работе каждой секции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аккумуляция практического и методического опыта педагогов по применению инновационных технологий в художественном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педагогами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художниками навыков научных дискуссий и публичных выступлений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престижности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 инновационной деятельности в области художественного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left="63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Секции конференции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hd w:val="clear" w:color="auto" w:fill="ffffff"/>
        <w:suppressAutoHyphens w:val="0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Конференции могут быть представлены доклады на следующие темы 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Презентация образовательной организации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Международные творческие и образовательные проекты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Современный методический опыт в художественном образовании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Социальные и благотворительные проекты в художественном образовании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List Paragraph"/>
        <w:shd w:val="clear" w:color="auto" w:fill="ffffff"/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Условия участия в конференции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Участниками Конференции являются 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художники и руководители организаций дошкольного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предпрофессионального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частного художественного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организаторы проектов художественной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Темы докладов Конференции должны соответствовать ее целям и задачам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базироваться на актуальной информации по проблемам художественного образования и практике их 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выступлений с докладами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обсуждение доклада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Выступления должны сопровождаться визуальными материалами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Рабочий язык конференции – русский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к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Формат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MS Word (doc, rtf).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Максимальный объём тезисов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правом верхнем углу ФИО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ученая степень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и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затем – название доклада на русском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участия в Конференции необходимо оформить заявку участника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Международного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КАМПУСА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Тезисы выступлений присылаются в Оргкомитет заблаговременно по электронной почте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"mailto:souzhp@yandex.ru"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souzhp@yandex.ru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пометкой «Конференция»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апреля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включительно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Конференции не требует вступительных взносов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расходов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питанием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проживанием и экскурсионным обслуживанием участников Конференции за счет направляющей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Подтверждая своё участие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Конференции дают разрешение на проведение видеосъёмки и публикацию выступлений на порталах Организаторов Конференции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tabs>
          <w:tab w:val="left" w:pos="4120"/>
        </w:tabs>
        <w:spacing w:after="0"/>
        <w:ind w:firstLine="800"/>
        <w:jc w:val="left"/>
      </w:pPr>
      <w:r>
        <w:rPr>
          <w:sz w:val="24"/>
          <w:szCs w:val="24"/>
          <w:lang w:val="ru-RU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63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3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Strong">
    <w:name w:val="Strong"/>
    <w:rPr>
      <w:rFonts w:ascii="Calibri" w:cs="Calibri" w:hAnsi="Calibri" w:eastAsia="Calibri"/>
      <w:b w:val="1"/>
      <w:bCs w:val="1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